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79" w:rsidRDefault="00C31A9F" w:rsidP="002A4579">
      <w:pPr>
        <w:tabs>
          <w:tab w:val="left" w:pos="540"/>
        </w:tabs>
        <w:ind w:left="935" w:hanging="935"/>
        <w:jc w:val="center"/>
        <w:rPr>
          <w:rFonts w:ascii="Arial" w:hAnsi="Arial" w:cs="Arial"/>
          <w:b/>
          <w:sz w:val="32"/>
          <w:szCs w:val="32"/>
        </w:rPr>
      </w:pPr>
      <w:r>
        <w:rPr>
          <w:rFonts w:ascii="Arial" w:hAnsi="Arial" w:cs="Arial"/>
          <w:b/>
          <w:sz w:val="32"/>
          <w:szCs w:val="32"/>
        </w:rPr>
        <w:t xml:space="preserve">Motor </w:t>
      </w:r>
      <w:r w:rsidR="004A1CB0">
        <w:rPr>
          <w:rFonts w:ascii="Arial" w:hAnsi="Arial" w:cs="Arial"/>
          <w:b/>
          <w:sz w:val="32"/>
          <w:szCs w:val="32"/>
        </w:rPr>
        <w:t>Wiring Methods</w:t>
      </w:r>
    </w:p>
    <w:p w:rsidR="004A1CB0" w:rsidRDefault="004A1CB0" w:rsidP="002A4579">
      <w:pPr>
        <w:tabs>
          <w:tab w:val="left" w:pos="540"/>
        </w:tabs>
        <w:ind w:left="935" w:hanging="935"/>
        <w:jc w:val="center"/>
        <w:rPr>
          <w:rFonts w:ascii="Arial" w:hAnsi="Arial" w:cs="Arial"/>
          <w:b/>
          <w:sz w:val="32"/>
          <w:szCs w:val="32"/>
        </w:rPr>
      </w:pPr>
    </w:p>
    <w:p w:rsidR="004A1CB0" w:rsidRDefault="004A1CB0" w:rsidP="004A1CB0">
      <w:pPr>
        <w:tabs>
          <w:tab w:val="left" w:pos="540"/>
        </w:tabs>
        <w:jc w:val="both"/>
        <w:rPr>
          <w:rFonts w:ascii="Arial" w:hAnsi="Arial" w:cs="Arial"/>
          <w:sz w:val="20"/>
          <w:szCs w:val="20"/>
        </w:rPr>
      </w:pPr>
      <w:r w:rsidRPr="004A1CB0">
        <w:rPr>
          <w:rFonts w:ascii="Arial" w:hAnsi="Arial" w:cs="Arial"/>
          <w:color w:val="333333"/>
          <w:sz w:val="20"/>
          <w:szCs w:val="20"/>
        </w:rPr>
        <w:t xml:space="preserve">In </w:t>
      </w:r>
      <w:smartTag w:uri="urn:schemas-microsoft-com:office:smarttags" w:element="country-region">
        <w:smartTag w:uri="urn:schemas-microsoft-com:office:smarttags" w:element="place">
          <w:r w:rsidRPr="004A1CB0">
            <w:rPr>
              <w:rFonts w:ascii="Arial" w:hAnsi="Arial" w:cs="Arial"/>
              <w:color w:val="333333"/>
              <w:sz w:val="20"/>
              <w:szCs w:val="20"/>
            </w:rPr>
            <w:t>Canada</w:t>
          </w:r>
        </w:smartTag>
      </w:smartTag>
      <w:r w:rsidRPr="004A1CB0">
        <w:rPr>
          <w:rFonts w:ascii="Arial" w:hAnsi="Arial" w:cs="Arial"/>
          <w:color w:val="333333"/>
          <w:sz w:val="20"/>
          <w:szCs w:val="20"/>
        </w:rPr>
        <w:t>, every province and territory adopts and enforces the same installation code, the Canadian Electrical Code (CEC), Part I</w:t>
      </w:r>
      <w:r w:rsidR="002A3B38">
        <w:rPr>
          <w:rFonts w:ascii="Arial" w:hAnsi="Arial" w:cs="Arial"/>
          <w:color w:val="333333"/>
          <w:sz w:val="20"/>
          <w:szCs w:val="20"/>
        </w:rPr>
        <w:t>, Electrical Installations</w:t>
      </w:r>
      <w:r w:rsidRPr="004A1CB0">
        <w:rPr>
          <w:rFonts w:ascii="Arial" w:hAnsi="Arial" w:cs="Arial"/>
          <w:color w:val="333333"/>
          <w:sz w:val="20"/>
          <w:szCs w:val="20"/>
        </w:rPr>
        <w:t>.</w:t>
      </w:r>
      <w:r>
        <w:rPr>
          <w:rFonts w:ascii="Arial" w:hAnsi="Arial" w:cs="Arial"/>
          <w:color w:val="333333"/>
          <w:sz w:val="20"/>
          <w:szCs w:val="20"/>
        </w:rPr>
        <w:t xml:space="preserve">  In particular, m</w:t>
      </w:r>
      <w:r w:rsidRPr="004A1CB0">
        <w:rPr>
          <w:rFonts w:ascii="Arial" w:hAnsi="Arial" w:cs="Arial"/>
          <w:sz w:val="20"/>
          <w:szCs w:val="20"/>
        </w:rPr>
        <w:t>otor wiring is discussed in CEC</w:t>
      </w:r>
      <w:r>
        <w:rPr>
          <w:rFonts w:ascii="Arial" w:hAnsi="Arial" w:cs="Arial"/>
          <w:sz w:val="20"/>
          <w:szCs w:val="20"/>
        </w:rPr>
        <w:t xml:space="preserve">, </w:t>
      </w:r>
      <w:r w:rsidRPr="004A1CB0">
        <w:rPr>
          <w:rFonts w:ascii="Arial" w:hAnsi="Arial" w:cs="Arial"/>
          <w:b/>
          <w:sz w:val="20"/>
          <w:szCs w:val="20"/>
        </w:rPr>
        <w:t>Rule</w:t>
      </w:r>
      <w:r>
        <w:rPr>
          <w:rFonts w:ascii="Arial" w:hAnsi="Arial" w:cs="Arial"/>
          <w:b/>
          <w:sz w:val="20"/>
          <w:szCs w:val="20"/>
        </w:rPr>
        <w:t xml:space="preserve"> Section </w:t>
      </w:r>
      <w:r w:rsidRPr="004A1CB0">
        <w:rPr>
          <w:rFonts w:ascii="Arial" w:hAnsi="Arial" w:cs="Arial"/>
          <w:b/>
          <w:sz w:val="20"/>
          <w:szCs w:val="20"/>
        </w:rPr>
        <w:t>28</w:t>
      </w:r>
      <w:r>
        <w:rPr>
          <w:rFonts w:ascii="Arial" w:hAnsi="Arial" w:cs="Arial"/>
          <w:sz w:val="20"/>
          <w:szCs w:val="20"/>
        </w:rPr>
        <w:t xml:space="preserve">.  </w:t>
      </w:r>
    </w:p>
    <w:p w:rsidR="004A1CB0" w:rsidRDefault="004A1CB0" w:rsidP="004A1CB0">
      <w:pPr>
        <w:tabs>
          <w:tab w:val="left" w:pos="540"/>
        </w:tabs>
        <w:jc w:val="both"/>
        <w:rPr>
          <w:rFonts w:ascii="Arial" w:hAnsi="Arial" w:cs="Arial"/>
          <w:sz w:val="20"/>
          <w:szCs w:val="20"/>
        </w:rPr>
      </w:pPr>
    </w:p>
    <w:p w:rsidR="002A4579" w:rsidRDefault="004A1CB0" w:rsidP="008A1FD8">
      <w:pPr>
        <w:tabs>
          <w:tab w:val="left" w:pos="540"/>
        </w:tabs>
        <w:jc w:val="both"/>
        <w:rPr>
          <w:rFonts w:ascii="Arial" w:hAnsi="Arial" w:cs="Arial"/>
          <w:sz w:val="20"/>
          <w:szCs w:val="20"/>
        </w:rPr>
      </w:pPr>
      <w:r>
        <w:rPr>
          <w:rFonts w:ascii="Arial" w:hAnsi="Arial" w:cs="Arial"/>
          <w:sz w:val="20"/>
          <w:szCs w:val="20"/>
        </w:rPr>
        <w:t xml:space="preserve">In Alberta, </w:t>
      </w:r>
      <w:r w:rsidRPr="004A1CB0">
        <w:rPr>
          <w:rFonts w:ascii="Arial" w:hAnsi="Arial"/>
          <w:b/>
          <w:sz w:val="20"/>
          <w:szCs w:val="20"/>
        </w:rPr>
        <w:t>Canadian Electrical Code, Part I (</w:t>
      </w:r>
      <w:r w:rsidR="002D5467">
        <w:rPr>
          <w:rFonts w:ascii="Arial" w:hAnsi="Arial"/>
          <w:b/>
          <w:sz w:val="20"/>
          <w:szCs w:val="20"/>
        </w:rPr>
        <w:t>22</w:t>
      </w:r>
      <w:r w:rsidRPr="004A1CB0">
        <w:rPr>
          <w:rFonts w:ascii="Arial" w:hAnsi="Arial"/>
          <w:b/>
          <w:sz w:val="20"/>
          <w:szCs w:val="20"/>
        </w:rPr>
        <w:t>th Edition), Safety Standard for Electrical Installations</w:t>
      </w:r>
      <w:r>
        <w:rPr>
          <w:rFonts w:ascii="Verdana" w:hAnsi="Verdana"/>
          <w:b/>
          <w:bCs/>
          <w:color w:val="0066CC"/>
          <w:sz w:val="20"/>
          <w:szCs w:val="20"/>
        </w:rPr>
        <w:t xml:space="preserve"> </w:t>
      </w:r>
      <w:r>
        <w:rPr>
          <w:rFonts w:ascii="Arial" w:hAnsi="Arial" w:cs="Arial"/>
          <w:sz w:val="20"/>
          <w:szCs w:val="20"/>
        </w:rPr>
        <w:t xml:space="preserve">can be obtained from </w:t>
      </w:r>
      <w:hyperlink r:id="rId8" w:history="1">
        <w:r w:rsidR="002A3B38" w:rsidRPr="002F4865">
          <w:rPr>
            <w:rStyle w:val="Hyperlink"/>
            <w:rFonts w:ascii="Arial" w:hAnsi="Arial" w:cs="Arial"/>
            <w:sz w:val="20"/>
            <w:szCs w:val="20"/>
          </w:rPr>
          <w:t>municipalaffairs.g</w:t>
        </w:r>
        <w:r w:rsidR="002A3B38" w:rsidRPr="002F4865">
          <w:rPr>
            <w:rStyle w:val="Hyperlink"/>
            <w:rFonts w:ascii="Arial" w:hAnsi="Arial" w:cs="Arial"/>
            <w:sz w:val="20"/>
            <w:szCs w:val="20"/>
          </w:rPr>
          <w:t>o</w:t>
        </w:r>
        <w:r w:rsidR="002A3B38" w:rsidRPr="002F4865">
          <w:rPr>
            <w:rStyle w:val="Hyperlink"/>
            <w:rFonts w:ascii="Arial" w:hAnsi="Arial" w:cs="Arial"/>
            <w:sz w:val="20"/>
            <w:szCs w:val="20"/>
          </w:rPr>
          <w:t>v.ab.ca</w:t>
        </w:r>
      </w:hyperlink>
      <w:r w:rsidR="002A3B38">
        <w:rPr>
          <w:rFonts w:ascii="Arial" w:hAnsi="Arial" w:cs="Arial"/>
          <w:sz w:val="20"/>
          <w:szCs w:val="20"/>
        </w:rPr>
        <w:t xml:space="preserve"> which would re-direct to</w:t>
      </w:r>
      <w:r w:rsidR="008A1FD8">
        <w:rPr>
          <w:rFonts w:ascii="Arial" w:hAnsi="Arial" w:cs="Arial"/>
          <w:sz w:val="20"/>
          <w:szCs w:val="20"/>
        </w:rPr>
        <w:t xml:space="preserve"> an online Canadian Standards Association (CSA) web store.</w:t>
      </w:r>
    </w:p>
    <w:p w:rsidR="008A1FD8" w:rsidRPr="0098143F" w:rsidRDefault="008A1FD8" w:rsidP="008A1FD8">
      <w:pPr>
        <w:tabs>
          <w:tab w:val="left" w:pos="540"/>
        </w:tabs>
        <w:jc w:val="both"/>
        <w:rPr>
          <w:rFonts w:ascii="Arial" w:hAnsi="Arial" w:cs="Arial"/>
          <w:b/>
          <w:sz w:val="20"/>
          <w:szCs w:val="20"/>
        </w:rPr>
      </w:pPr>
    </w:p>
    <w:p w:rsidR="009209F3" w:rsidRDefault="009209F3" w:rsidP="00C31A9F">
      <w:pPr>
        <w:tabs>
          <w:tab w:val="left" w:pos="540"/>
        </w:tabs>
        <w:jc w:val="both"/>
        <w:rPr>
          <w:rFonts w:ascii="Arial" w:hAnsi="Arial" w:cs="Arial"/>
          <w:sz w:val="20"/>
          <w:szCs w:val="20"/>
        </w:rPr>
      </w:pPr>
      <w:r>
        <w:rPr>
          <w:rFonts w:ascii="Arial" w:hAnsi="Arial" w:cs="Arial"/>
          <w:sz w:val="20"/>
          <w:szCs w:val="20"/>
        </w:rPr>
        <w:t>In th</w:t>
      </w:r>
      <w:r w:rsidR="008A1FD8">
        <w:rPr>
          <w:rFonts w:ascii="Arial" w:hAnsi="Arial" w:cs="Arial"/>
          <w:sz w:val="20"/>
          <w:szCs w:val="20"/>
        </w:rPr>
        <w:t xml:space="preserve">is </w:t>
      </w:r>
      <w:r>
        <w:rPr>
          <w:rFonts w:ascii="Arial" w:hAnsi="Arial" w:cs="Arial"/>
          <w:sz w:val="20"/>
          <w:szCs w:val="20"/>
        </w:rPr>
        <w:t>portion of the course, we will look at how to determine copper conductor size, overcurrent and overload protection based on certain Rules from Rule Section 28.</w:t>
      </w:r>
    </w:p>
    <w:p w:rsidR="009209F3" w:rsidRDefault="009209F3" w:rsidP="00C31A9F">
      <w:pPr>
        <w:tabs>
          <w:tab w:val="left" w:pos="540"/>
        </w:tabs>
        <w:jc w:val="both"/>
        <w:rPr>
          <w:rFonts w:ascii="Arial" w:hAnsi="Arial" w:cs="Arial"/>
          <w:sz w:val="20"/>
          <w:szCs w:val="20"/>
        </w:rPr>
      </w:pPr>
    </w:p>
    <w:p w:rsidR="009209F3" w:rsidRDefault="009209F3" w:rsidP="00C31A9F">
      <w:pPr>
        <w:tabs>
          <w:tab w:val="left" w:pos="540"/>
        </w:tabs>
        <w:jc w:val="both"/>
        <w:rPr>
          <w:rFonts w:ascii="Arial" w:hAnsi="Arial" w:cs="Arial"/>
          <w:sz w:val="20"/>
          <w:szCs w:val="20"/>
        </w:rPr>
      </w:pPr>
      <w:r>
        <w:rPr>
          <w:rFonts w:ascii="Arial" w:hAnsi="Arial" w:cs="Arial"/>
          <w:sz w:val="20"/>
          <w:szCs w:val="20"/>
        </w:rPr>
        <w:t>We are going to examine the following four Rules:</w:t>
      </w:r>
    </w:p>
    <w:p w:rsidR="009209F3" w:rsidRDefault="009209F3" w:rsidP="00C31A9F">
      <w:pPr>
        <w:tabs>
          <w:tab w:val="left" w:pos="540"/>
        </w:tabs>
        <w:jc w:val="both"/>
        <w:rPr>
          <w:rFonts w:ascii="Arial" w:hAnsi="Arial" w:cs="Arial"/>
          <w:sz w:val="20"/>
          <w:szCs w:val="20"/>
        </w:rPr>
      </w:pPr>
    </w:p>
    <w:p w:rsidR="009209F3" w:rsidRDefault="009209F3" w:rsidP="00C31A9F">
      <w:pPr>
        <w:tabs>
          <w:tab w:val="left" w:pos="540"/>
        </w:tabs>
        <w:jc w:val="both"/>
        <w:rPr>
          <w:rFonts w:ascii="Arial" w:hAnsi="Arial" w:cs="Arial"/>
          <w:sz w:val="20"/>
          <w:szCs w:val="20"/>
        </w:rPr>
      </w:pPr>
      <w:r>
        <w:rPr>
          <w:rFonts w:ascii="Arial" w:hAnsi="Arial" w:cs="Arial"/>
          <w:sz w:val="20"/>
          <w:szCs w:val="20"/>
        </w:rPr>
        <w:tab/>
        <w:t>Rule 28-104</w:t>
      </w:r>
      <w:r>
        <w:rPr>
          <w:rFonts w:ascii="Arial" w:hAnsi="Arial" w:cs="Arial"/>
          <w:sz w:val="20"/>
          <w:szCs w:val="20"/>
        </w:rPr>
        <w:tab/>
        <w:t xml:space="preserve">Motor Supply Conductor Insulation Temperature Rating and </w:t>
      </w:r>
      <w:proofErr w:type="spellStart"/>
      <w:r>
        <w:rPr>
          <w:rFonts w:ascii="Arial" w:hAnsi="Arial" w:cs="Arial"/>
          <w:sz w:val="20"/>
          <w:szCs w:val="20"/>
        </w:rPr>
        <w:t>Ampacity</w:t>
      </w:r>
      <w:proofErr w:type="spellEnd"/>
    </w:p>
    <w:p w:rsidR="009209F3" w:rsidRDefault="009209F3" w:rsidP="00C31A9F">
      <w:pPr>
        <w:tabs>
          <w:tab w:val="left" w:pos="540"/>
        </w:tabs>
        <w:jc w:val="both"/>
        <w:rPr>
          <w:rFonts w:ascii="Arial" w:hAnsi="Arial" w:cs="Arial"/>
          <w:sz w:val="20"/>
          <w:szCs w:val="20"/>
        </w:rPr>
      </w:pPr>
      <w:r>
        <w:rPr>
          <w:rFonts w:ascii="Arial" w:hAnsi="Arial" w:cs="Arial"/>
          <w:sz w:val="20"/>
          <w:szCs w:val="20"/>
        </w:rPr>
        <w:tab/>
        <w:t>Rule 28-106</w:t>
      </w:r>
      <w:r>
        <w:rPr>
          <w:rFonts w:ascii="Arial" w:hAnsi="Arial" w:cs="Arial"/>
          <w:sz w:val="20"/>
          <w:szCs w:val="20"/>
        </w:rPr>
        <w:tab/>
        <w:t>Conductors, Individual Motors</w:t>
      </w:r>
    </w:p>
    <w:p w:rsidR="009209F3" w:rsidRDefault="009209F3" w:rsidP="00C31A9F">
      <w:pPr>
        <w:tabs>
          <w:tab w:val="left" w:pos="540"/>
        </w:tabs>
        <w:jc w:val="both"/>
        <w:rPr>
          <w:rFonts w:ascii="Arial" w:hAnsi="Arial" w:cs="Arial"/>
          <w:sz w:val="20"/>
          <w:szCs w:val="20"/>
        </w:rPr>
      </w:pPr>
      <w:r>
        <w:rPr>
          <w:rFonts w:ascii="Arial" w:hAnsi="Arial" w:cs="Arial"/>
          <w:sz w:val="20"/>
          <w:szCs w:val="20"/>
        </w:rPr>
        <w:tab/>
        <w:t>Rule 28-200</w:t>
      </w:r>
      <w:r>
        <w:rPr>
          <w:rFonts w:ascii="Arial" w:hAnsi="Arial" w:cs="Arial"/>
          <w:sz w:val="20"/>
          <w:szCs w:val="20"/>
        </w:rPr>
        <w:tab/>
        <w:t>Branch Circuit Overcurrent Protection</w:t>
      </w:r>
    </w:p>
    <w:p w:rsidR="009209F3" w:rsidRDefault="009209F3" w:rsidP="00C31A9F">
      <w:pPr>
        <w:tabs>
          <w:tab w:val="left" w:pos="540"/>
        </w:tabs>
        <w:jc w:val="both"/>
        <w:rPr>
          <w:rFonts w:ascii="Arial" w:hAnsi="Arial" w:cs="Arial"/>
          <w:sz w:val="20"/>
          <w:szCs w:val="20"/>
        </w:rPr>
      </w:pPr>
      <w:r>
        <w:rPr>
          <w:rFonts w:ascii="Arial" w:hAnsi="Arial" w:cs="Arial"/>
          <w:sz w:val="20"/>
          <w:szCs w:val="20"/>
        </w:rPr>
        <w:tab/>
        <w:t>Rule 28-306</w:t>
      </w:r>
      <w:r>
        <w:rPr>
          <w:rFonts w:ascii="Arial" w:hAnsi="Arial" w:cs="Arial"/>
          <w:sz w:val="20"/>
          <w:szCs w:val="20"/>
        </w:rPr>
        <w:tab/>
        <w:t>Rating or Trip Selection of Overload Devices</w:t>
      </w:r>
    </w:p>
    <w:p w:rsidR="008E0A58" w:rsidRDefault="008E0A58" w:rsidP="00C31A9F">
      <w:pPr>
        <w:tabs>
          <w:tab w:val="left" w:pos="540"/>
        </w:tabs>
        <w:jc w:val="both"/>
        <w:rPr>
          <w:rFonts w:ascii="Arial" w:hAnsi="Arial" w:cs="Arial"/>
          <w:sz w:val="20"/>
          <w:szCs w:val="20"/>
        </w:rPr>
      </w:pPr>
    </w:p>
    <w:p w:rsidR="008E0A58" w:rsidRDefault="008E0A58" w:rsidP="00C31A9F">
      <w:pPr>
        <w:tabs>
          <w:tab w:val="left" w:pos="540"/>
        </w:tabs>
        <w:jc w:val="both"/>
        <w:rPr>
          <w:rFonts w:ascii="Arial" w:hAnsi="Arial" w:cs="Arial"/>
          <w:b/>
          <w:sz w:val="20"/>
          <w:szCs w:val="20"/>
        </w:rPr>
      </w:pPr>
      <w:r w:rsidRPr="008E0A58">
        <w:rPr>
          <w:rFonts w:ascii="Arial" w:hAnsi="Arial" w:cs="Arial"/>
          <w:b/>
          <w:sz w:val="20"/>
          <w:szCs w:val="20"/>
        </w:rPr>
        <w:t>Rule 28-104</w:t>
      </w:r>
    </w:p>
    <w:p w:rsidR="002D5467" w:rsidRPr="002D5467" w:rsidRDefault="002D5467" w:rsidP="002D5467">
      <w:pPr>
        <w:autoSpaceDE w:val="0"/>
        <w:autoSpaceDN w:val="0"/>
        <w:adjustRightInd w:val="0"/>
        <w:rPr>
          <w:rFonts w:ascii="StoneSerif-Bold" w:hAnsi="StoneSerif-Bold" w:cs="StoneSerif-Bold"/>
          <w:b/>
          <w:bCs/>
          <w:i/>
          <w:sz w:val="20"/>
          <w:szCs w:val="20"/>
        </w:rPr>
      </w:pPr>
      <w:r>
        <w:rPr>
          <w:rFonts w:ascii="StoneSerif-Bold" w:hAnsi="StoneSerif-Bold" w:cs="StoneSerif-Bold"/>
          <w:b/>
          <w:bCs/>
          <w:i/>
          <w:sz w:val="20"/>
          <w:szCs w:val="20"/>
        </w:rPr>
        <w:t>“</w:t>
      </w:r>
      <w:r w:rsidRPr="002D5467">
        <w:rPr>
          <w:rFonts w:ascii="StoneSerif-Bold" w:hAnsi="StoneSerif-Bold" w:cs="StoneSerif-Bold"/>
          <w:b/>
          <w:bCs/>
          <w:i/>
          <w:sz w:val="20"/>
          <w:szCs w:val="20"/>
        </w:rPr>
        <w:t xml:space="preserve">28-104 Motor supply conductor insulation temperature rating and </w:t>
      </w:r>
      <w:proofErr w:type="spellStart"/>
      <w:r w:rsidRPr="002D5467">
        <w:rPr>
          <w:rFonts w:ascii="StoneSerif-Bold" w:hAnsi="StoneSerif-Bold" w:cs="StoneSerif-Bold"/>
          <w:b/>
          <w:bCs/>
          <w:i/>
          <w:sz w:val="20"/>
          <w:szCs w:val="20"/>
        </w:rPr>
        <w:t>ampacity</w:t>
      </w:r>
      <w:proofErr w:type="spellEnd"/>
    </w:p>
    <w:p w:rsidR="002D5467" w:rsidRPr="002D5467" w:rsidRDefault="002D5467" w:rsidP="002D5467">
      <w:pPr>
        <w:pStyle w:val="ListParagraph"/>
        <w:numPr>
          <w:ilvl w:val="0"/>
          <w:numId w:val="8"/>
        </w:numPr>
        <w:autoSpaceDE w:val="0"/>
        <w:autoSpaceDN w:val="0"/>
        <w:adjustRightInd w:val="0"/>
        <w:rPr>
          <w:rFonts w:ascii="StoneSans" w:hAnsi="StoneSans" w:cs="StoneSans"/>
          <w:i/>
          <w:sz w:val="19"/>
          <w:szCs w:val="19"/>
        </w:rPr>
      </w:pPr>
      <w:r w:rsidRPr="002D5467">
        <w:rPr>
          <w:rFonts w:ascii="StoneSans" w:hAnsi="StoneSans" w:cs="StoneSans"/>
          <w:i/>
          <w:sz w:val="19"/>
          <w:szCs w:val="19"/>
        </w:rPr>
        <w:t xml:space="preserve">Supply conductors to a motor connection box shall have an insulation temperature rating equal to or greater than that required by </w:t>
      </w:r>
      <w:r w:rsidRPr="00EA3D18">
        <w:rPr>
          <w:rFonts w:ascii="StoneSans" w:hAnsi="StoneSans" w:cs="StoneSans"/>
          <w:i/>
          <w:sz w:val="19"/>
          <w:szCs w:val="19"/>
          <w:u w:val="single"/>
        </w:rPr>
        <w:t>Table 37</w:t>
      </w:r>
      <w:r w:rsidRPr="002D5467">
        <w:rPr>
          <w:rFonts w:ascii="StoneSans" w:hAnsi="StoneSans" w:cs="StoneSans"/>
          <w:i/>
          <w:sz w:val="19"/>
          <w:szCs w:val="19"/>
        </w:rPr>
        <w:t xml:space="preserve">, unless the motor is marked otherwise and their </w:t>
      </w:r>
      <w:proofErr w:type="spellStart"/>
      <w:r w:rsidRPr="002D5467">
        <w:rPr>
          <w:rFonts w:ascii="StoneSans" w:hAnsi="StoneSans" w:cs="StoneSans"/>
          <w:i/>
          <w:sz w:val="19"/>
          <w:szCs w:val="19"/>
        </w:rPr>
        <w:t>ampacity</w:t>
      </w:r>
      <w:proofErr w:type="spellEnd"/>
      <w:r w:rsidRPr="002D5467">
        <w:rPr>
          <w:rFonts w:ascii="StoneSans" w:hAnsi="StoneSans" w:cs="StoneSans"/>
          <w:i/>
          <w:sz w:val="19"/>
          <w:szCs w:val="19"/>
        </w:rPr>
        <w:t xml:space="preserve"> is based on a 75 °C conductor insulation rating except for Class A rated motors only, where their </w:t>
      </w:r>
      <w:proofErr w:type="spellStart"/>
      <w:r w:rsidRPr="002D5467">
        <w:rPr>
          <w:rFonts w:ascii="StoneSans" w:hAnsi="StoneSans" w:cs="StoneSans"/>
          <w:i/>
          <w:sz w:val="19"/>
          <w:szCs w:val="19"/>
        </w:rPr>
        <w:t>ampacity</w:t>
      </w:r>
      <w:proofErr w:type="spellEnd"/>
      <w:r w:rsidRPr="002D5467">
        <w:rPr>
          <w:rFonts w:ascii="StoneSans" w:hAnsi="StoneSans" w:cs="StoneSans"/>
          <w:i/>
          <w:sz w:val="19"/>
          <w:szCs w:val="19"/>
        </w:rPr>
        <w:t xml:space="preserve"> shall be permitted to be based on a 90 °C insulation rating, when 90 °C wire is used as circuit conductors to the motor.</w:t>
      </w:r>
    </w:p>
    <w:p w:rsidR="002D5467" w:rsidRPr="002D5467" w:rsidRDefault="002D5467" w:rsidP="002D5467">
      <w:pPr>
        <w:pStyle w:val="ListParagraph"/>
        <w:numPr>
          <w:ilvl w:val="0"/>
          <w:numId w:val="8"/>
        </w:numPr>
        <w:autoSpaceDE w:val="0"/>
        <w:autoSpaceDN w:val="0"/>
        <w:adjustRightInd w:val="0"/>
        <w:rPr>
          <w:rFonts w:ascii="StoneSans" w:hAnsi="StoneSans" w:cs="StoneSans"/>
          <w:i/>
          <w:sz w:val="19"/>
          <w:szCs w:val="19"/>
        </w:rPr>
      </w:pPr>
      <w:r w:rsidRPr="002D5467">
        <w:rPr>
          <w:rFonts w:ascii="StoneSans" w:hAnsi="StoneSans" w:cs="StoneSans"/>
          <w:i/>
          <w:sz w:val="19"/>
          <w:szCs w:val="19"/>
        </w:rPr>
        <w:t xml:space="preserve">Where Table 37 requires insulation temperature ratings in excess of 75 °C, the motor supply conductors shall be not less than 1.2 m long and shall terminate in a location not less than 600 mm from any part of the motor except that for motors rated 100 </w:t>
      </w:r>
      <w:proofErr w:type="spellStart"/>
      <w:r w:rsidRPr="002D5467">
        <w:rPr>
          <w:rFonts w:ascii="StoneSans" w:hAnsi="StoneSans" w:cs="StoneSans"/>
          <w:i/>
          <w:sz w:val="19"/>
          <w:szCs w:val="19"/>
        </w:rPr>
        <w:t>hp</w:t>
      </w:r>
      <w:proofErr w:type="spellEnd"/>
      <w:r w:rsidRPr="002D5467">
        <w:rPr>
          <w:rFonts w:ascii="StoneSans" w:hAnsi="StoneSans" w:cs="StoneSans"/>
          <w:i/>
          <w:sz w:val="19"/>
          <w:szCs w:val="19"/>
        </w:rPr>
        <w:t xml:space="preserve"> or larger, their terminations shall be not less than 1.2 m from any part of the motor.</w:t>
      </w:r>
    </w:p>
    <w:p w:rsidR="008E0A58" w:rsidRPr="002D5467" w:rsidRDefault="002D5467" w:rsidP="002D5467">
      <w:pPr>
        <w:pStyle w:val="ListParagraph"/>
        <w:numPr>
          <w:ilvl w:val="0"/>
          <w:numId w:val="8"/>
        </w:numPr>
        <w:autoSpaceDE w:val="0"/>
        <w:autoSpaceDN w:val="0"/>
        <w:adjustRightInd w:val="0"/>
        <w:rPr>
          <w:rFonts w:ascii="Arial" w:hAnsi="Arial" w:cs="Arial"/>
          <w:b/>
          <w:i/>
          <w:sz w:val="20"/>
          <w:szCs w:val="20"/>
        </w:rPr>
      </w:pPr>
      <w:r w:rsidRPr="002D5467">
        <w:rPr>
          <w:rFonts w:ascii="StoneSans" w:hAnsi="StoneSans" w:cs="StoneSans"/>
          <w:i/>
          <w:sz w:val="19"/>
          <w:szCs w:val="19"/>
        </w:rPr>
        <w:t xml:space="preserve">For </w:t>
      </w:r>
      <w:proofErr w:type="spellStart"/>
      <w:r w:rsidRPr="002D5467">
        <w:rPr>
          <w:rFonts w:ascii="StoneSans" w:hAnsi="StoneSans" w:cs="StoneSans"/>
          <w:i/>
          <w:sz w:val="19"/>
          <w:szCs w:val="19"/>
        </w:rPr>
        <w:t>ambients</w:t>
      </w:r>
      <w:proofErr w:type="spellEnd"/>
      <w:r w:rsidRPr="002D5467">
        <w:rPr>
          <w:rFonts w:ascii="StoneSans" w:hAnsi="StoneSans" w:cs="StoneSans"/>
          <w:i/>
          <w:sz w:val="19"/>
          <w:szCs w:val="19"/>
        </w:rPr>
        <w:t xml:space="preserve"> higher than 30 °C, the supply conductor insulation rating shall be increased at least by the difference between the ambient and 30 °C.</w:t>
      </w:r>
      <w:r>
        <w:rPr>
          <w:rFonts w:ascii="StoneSans" w:hAnsi="StoneSans" w:cs="StoneSans"/>
          <w:i/>
          <w:sz w:val="19"/>
          <w:szCs w:val="19"/>
        </w:rPr>
        <w:t>” (CSA Standards C22.1-12</w:t>
      </w:r>
      <w:r w:rsidR="00CC434B">
        <w:rPr>
          <w:rFonts w:ascii="StoneSans" w:hAnsi="StoneSans" w:cs="StoneSans"/>
          <w:i/>
          <w:sz w:val="19"/>
          <w:szCs w:val="19"/>
        </w:rPr>
        <w:t xml:space="preserve">, Canadian </w:t>
      </w:r>
      <w:proofErr w:type="spellStart"/>
      <w:r w:rsidR="00CC434B">
        <w:rPr>
          <w:rFonts w:ascii="StoneSans" w:hAnsi="StoneSans" w:cs="StoneSans"/>
          <w:i/>
          <w:sz w:val="19"/>
          <w:szCs w:val="19"/>
        </w:rPr>
        <w:t>Electical</w:t>
      </w:r>
      <w:proofErr w:type="spellEnd"/>
      <w:r w:rsidR="00CC434B">
        <w:rPr>
          <w:rFonts w:ascii="StoneSans" w:hAnsi="StoneSans" w:cs="StoneSans"/>
          <w:i/>
          <w:sz w:val="19"/>
          <w:szCs w:val="19"/>
        </w:rPr>
        <w:t xml:space="preserve"> Code, Part I,  Safety Standard for Electrical Installations, 22</w:t>
      </w:r>
      <w:r w:rsidR="00CC434B" w:rsidRPr="00CC434B">
        <w:rPr>
          <w:rFonts w:ascii="StoneSans" w:hAnsi="StoneSans" w:cs="StoneSans"/>
          <w:i/>
          <w:sz w:val="19"/>
          <w:szCs w:val="19"/>
          <w:vertAlign w:val="superscript"/>
        </w:rPr>
        <w:t>nd</w:t>
      </w:r>
      <w:r w:rsidR="00CC434B">
        <w:rPr>
          <w:rFonts w:ascii="StoneSans" w:hAnsi="StoneSans" w:cs="StoneSans"/>
          <w:i/>
          <w:sz w:val="19"/>
          <w:szCs w:val="19"/>
        </w:rPr>
        <w:t xml:space="preserve"> Edition)</w:t>
      </w:r>
    </w:p>
    <w:p w:rsidR="008E0A58" w:rsidRPr="008E0A58" w:rsidRDefault="008E0A58" w:rsidP="00C31A9F">
      <w:pPr>
        <w:tabs>
          <w:tab w:val="left" w:pos="540"/>
        </w:tabs>
        <w:jc w:val="both"/>
        <w:rPr>
          <w:rFonts w:ascii="Arial" w:hAnsi="Arial" w:cs="Arial"/>
          <w:sz w:val="20"/>
          <w:szCs w:val="20"/>
        </w:rPr>
      </w:pPr>
    </w:p>
    <w:p w:rsidR="00C31A9F" w:rsidRDefault="00EA3D18" w:rsidP="00EA3D18">
      <w:pPr>
        <w:tabs>
          <w:tab w:val="left" w:pos="540"/>
        </w:tabs>
        <w:jc w:val="center"/>
        <w:rPr>
          <w:rFonts w:ascii="Arial" w:hAnsi="Arial" w:cs="Arial"/>
          <w:sz w:val="20"/>
          <w:szCs w:val="20"/>
        </w:rPr>
      </w:pPr>
      <w:r>
        <w:rPr>
          <w:rFonts w:ascii="Arial" w:hAnsi="Arial" w:cs="Arial"/>
          <w:noProof/>
          <w:sz w:val="20"/>
          <w:szCs w:val="20"/>
        </w:rPr>
        <w:drawing>
          <wp:inline distT="0" distB="0" distL="0" distR="0" wp14:anchorId="1B8D3755" wp14:editId="13906BCF">
            <wp:extent cx="4334493" cy="2621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37.png"/>
                    <pic:cNvPicPr/>
                  </pic:nvPicPr>
                  <pic:blipFill rotWithShape="1">
                    <a:blip r:embed="rId9">
                      <a:extLst>
                        <a:ext uri="{28A0092B-C50C-407E-A947-70E740481C1C}">
                          <a14:useLocalDpi xmlns:a14="http://schemas.microsoft.com/office/drawing/2010/main" val="0"/>
                        </a:ext>
                      </a:extLst>
                    </a:blip>
                    <a:srcRect r="1623"/>
                    <a:stretch/>
                  </pic:blipFill>
                  <pic:spPr bwMode="auto">
                    <a:xfrm>
                      <a:off x="0" y="0"/>
                      <a:ext cx="4334493" cy="2621683"/>
                    </a:xfrm>
                    <a:prstGeom prst="rect">
                      <a:avLst/>
                    </a:prstGeom>
                    <a:ln>
                      <a:noFill/>
                    </a:ln>
                    <a:extLst>
                      <a:ext uri="{53640926-AAD7-44D8-BBD7-CCE9431645EC}">
                        <a14:shadowObscured xmlns:a14="http://schemas.microsoft.com/office/drawing/2010/main"/>
                      </a:ext>
                    </a:extLst>
                  </pic:spPr>
                </pic:pic>
              </a:graphicData>
            </a:graphic>
          </wp:inline>
        </w:drawing>
      </w:r>
    </w:p>
    <w:p w:rsidR="008E0A58" w:rsidRDefault="008E0A58" w:rsidP="00C31A9F">
      <w:pPr>
        <w:tabs>
          <w:tab w:val="left" w:pos="540"/>
        </w:tabs>
        <w:jc w:val="both"/>
        <w:rPr>
          <w:rFonts w:ascii="Arial" w:hAnsi="Arial" w:cs="Arial"/>
          <w:sz w:val="20"/>
          <w:szCs w:val="20"/>
          <w:u w:val="single"/>
        </w:rPr>
      </w:pPr>
    </w:p>
    <w:p w:rsidR="008E0A58" w:rsidRDefault="008E0A58" w:rsidP="00C31A9F">
      <w:pPr>
        <w:tabs>
          <w:tab w:val="left" w:pos="540"/>
        </w:tabs>
        <w:jc w:val="both"/>
        <w:rPr>
          <w:rFonts w:ascii="Arial" w:hAnsi="Arial" w:cs="Arial"/>
          <w:sz w:val="20"/>
          <w:szCs w:val="20"/>
          <w:u w:val="single"/>
        </w:rPr>
      </w:pPr>
    </w:p>
    <w:p w:rsidR="008E0A58" w:rsidRDefault="008E0A58" w:rsidP="00C31A9F">
      <w:pPr>
        <w:tabs>
          <w:tab w:val="left" w:pos="540"/>
        </w:tabs>
        <w:jc w:val="both"/>
        <w:rPr>
          <w:rFonts w:ascii="Arial" w:hAnsi="Arial" w:cs="Arial"/>
          <w:sz w:val="20"/>
          <w:szCs w:val="20"/>
          <w:u w:val="single"/>
        </w:rPr>
      </w:pPr>
    </w:p>
    <w:p w:rsidR="00CC434B" w:rsidRDefault="00CC434B">
      <w:pPr>
        <w:rPr>
          <w:rFonts w:ascii="Arial" w:hAnsi="Arial" w:cs="Arial"/>
          <w:b/>
          <w:sz w:val="20"/>
          <w:szCs w:val="20"/>
        </w:rPr>
      </w:pPr>
      <w:r>
        <w:rPr>
          <w:rFonts w:ascii="Arial" w:hAnsi="Arial" w:cs="Arial"/>
          <w:b/>
          <w:sz w:val="20"/>
          <w:szCs w:val="20"/>
        </w:rPr>
        <w:br w:type="page"/>
      </w:r>
    </w:p>
    <w:p w:rsidR="008E0A58" w:rsidRDefault="008E0A58" w:rsidP="00C31A9F">
      <w:pPr>
        <w:tabs>
          <w:tab w:val="left" w:pos="540"/>
        </w:tabs>
        <w:jc w:val="both"/>
        <w:rPr>
          <w:rFonts w:ascii="Arial" w:hAnsi="Arial" w:cs="Arial"/>
          <w:b/>
          <w:sz w:val="20"/>
          <w:szCs w:val="20"/>
        </w:rPr>
      </w:pPr>
      <w:r>
        <w:rPr>
          <w:rFonts w:ascii="Arial" w:hAnsi="Arial" w:cs="Arial"/>
          <w:b/>
          <w:sz w:val="20"/>
          <w:szCs w:val="20"/>
        </w:rPr>
        <w:lastRenderedPageBreak/>
        <w:t>Rule 28-106</w:t>
      </w:r>
    </w:p>
    <w:p w:rsidR="008E0A58" w:rsidRDefault="008E0A58" w:rsidP="00C31A9F">
      <w:pPr>
        <w:tabs>
          <w:tab w:val="left" w:pos="540"/>
        </w:tabs>
        <w:jc w:val="both"/>
        <w:rPr>
          <w:rFonts w:ascii="Arial" w:hAnsi="Arial" w:cs="Arial"/>
          <w:b/>
          <w:sz w:val="20"/>
          <w:szCs w:val="20"/>
        </w:rPr>
      </w:pPr>
    </w:p>
    <w:p w:rsidR="008E0A58" w:rsidRDefault="008E0A58" w:rsidP="00C31A9F">
      <w:pPr>
        <w:tabs>
          <w:tab w:val="left" w:pos="540"/>
        </w:tabs>
        <w:jc w:val="both"/>
        <w:rPr>
          <w:rFonts w:ascii="Arial" w:hAnsi="Arial" w:cs="Arial"/>
          <w:sz w:val="20"/>
          <w:szCs w:val="20"/>
        </w:rPr>
      </w:pPr>
      <w:r>
        <w:rPr>
          <w:rFonts w:ascii="Arial" w:hAnsi="Arial" w:cs="Arial"/>
          <w:sz w:val="20"/>
          <w:szCs w:val="20"/>
        </w:rPr>
        <w:t>Once conductor temperature rating is determined, the minimum wire size can then be selected per Rule 28-106.</w:t>
      </w:r>
    </w:p>
    <w:p w:rsidR="008E0A58" w:rsidRDefault="008E0A58" w:rsidP="00C31A9F">
      <w:pPr>
        <w:tabs>
          <w:tab w:val="left" w:pos="540"/>
        </w:tabs>
        <w:jc w:val="both"/>
        <w:rPr>
          <w:rFonts w:ascii="Arial" w:hAnsi="Arial" w:cs="Arial"/>
          <w:sz w:val="20"/>
          <w:szCs w:val="20"/>
        </w:rPr>
      </w:pPr>
    </w:p>
    <w:p w:rsidR="00CC434B" w:rsidRPr="00CC434B" w:rsidRDefault="00CC434B" w:rsidP="00CC434B">
      <w:pPr>
        <w:autoSpaceDE w:val="0"/>
        <w:autoSpaceDN w:val="0"/>
        <w:adjustRightInd w:val="0"/>
        <w:rPr>
          <w:rFonts w:ascii="StoneSerif-Bold" w:hAnsi="StoneSerif-Bold" w:cs="StoneSerif-Bold"/>
          <w:b/>
          <w:bCs/>
          <w:i/>
          <w:sz w:val="20"/>
          <w:szCs w:val="20"/>
        </w:rPr>
      </w:pPr>
      <w:r w:rsidRPr="00CC434B">
        <w:rPr>
          <w:rFonts w:ascii="StoneSerif-Bold" w:hAnsi="StoneSerif-Bold" w:cs="StoneSerif-Bold"/>
          <w:b/>
          <w:bCs/>
          <w:i/>
          <w:sz w:val="20"/>
          <w:szCs w:val="20"/>
        </w:rPr>
        <w:t>28-106 Conductors — Individual motors</w:t>
      </w:r>
    </w:p>
    <w:p w:rsidR="00CC434B" w:rsidRPr="00CC434B" w:rsidRDefault="00CC434B" w:rsidP="00CC434B">
      <w:pPr>
        <w:pStyle w:val="ListParagraph"/>
        <w:numPr>
          <w:ilvl w:val="0"/>
          <w:numId w:val="10"/>
        </w:numPr>
        <w:autoSpaceDE w:val="0"/>
        <w:autoSpaceDN w:val="0"/>
        <w:adjustRightInd w:val="0"/>
        <w:rPr>
          <w:rFonts w:ascii="StoneSans" w:hAnsi="StoneSans" w:cs="StoneSans"/>
          <w:i/>
          <w:sz w:val="19"/>
          <w:szCs w:val="19"/>
        </w:rPr>
      </w:pPr>
      <w:r w:rsidRPr="00CC434B">
        <w:rPr>
          <w:rFonts w:ascii="StoneSans" w:hAnsi="StoneSans" w:cs="StoneSans"/>
          <w:i/>
          <w:sz w:val="19"/>
          <w:szCs w:val="19"/>
        </w:rPr>
        <w:t xml:space="preserve">The conductors of a branch circuit supplying a motor for use on </w:t>
      </w:r>
      <w:r w:rsidRPr="00EA3D18">
        <w:rPr>
          <w:rFonts w:ascii="StoneSans" w:hAnsi="StoneSans" w:cs="StoneSans"/>
          <w:i/>
          <w:sz w:val="19"/>
          <w:szCs w:val="19"/>
          <w:u w:val="single"/>
        </w:rPr>
        <w:t>continuous</w:t>
      </w:r>
      <w:r w:rsidRPr="00CC434B">
        <w:rPr>
          <w:rFonts w:ascii="StoneSans" w:hAnsi="StoneSans" w:cs="StoneSans"/>
          <w:i/>
          <w:sz w:val="19"/>
          <w:szCs w:val="19"/>
        </w:rPr>
        <w:t xml:space="preserve"> duty service shall have an </w:t>
      </w:r>
      <w:proofErr w:type="spellStart"/>
      <w:r w:rsidRPr="00CC434B">
        <w:rPr>
          <w:rFonts w:ascii="StoneSans" w:hAnsi="StoneSans" w:cs="StoneSans"/>
          <w:i/>
          <w:sz w:val="19"/>
          <w:szCs w:val="19"/>
        </w:rPr>
        <w:t>ampacity</w:t>
      </w:r>
      <w:proofErr w:type="spellEnd"/>
      <w:r w:rsidRPr="00CC434B">
        <w:rPr>
          <w:rFonts w:ascii="StoneSans" w:hAnsi="StoneSans" w:cs="StoneSans"/>
          <w:i/>
          <w:sz w:val="19"/>
          <w:szCs w:val="19"/>
        </w:rPr>
        <w:t xml:space="preserve"> </w:t>
      </w:r>
      <w:r w:rsidRPr="00EA3D18">
        <w:rPr>
          <w:rFonts w:ascii="StoneSans" w:hAnsi="StoneSans" w:cs="StoneSans"/>
          <w:i/>
          <w:sz w:val="19"/>
          <w:szCs w:val="19"/>
          <w:u w:val="single"/>
        </w:rPr>
        <w:t>not less</w:t>
      </w:r>
      <w:r w:rsidRPr="00CC434B">
        <w:rPr>
          <w:rFonts w:ascii="StoneSans" w:hAnsi="StoneSans" w:cs="StoneSans"/>
          <w:i/>
          <w:sz w:val="19"/>
          <w:szCs w:val="19"/>
        </w:rPr>
        <w:t xml:space="preserve"> than </w:t>
      </w:r>
      <w:r w:rsidRPr="00EA3D18">
        <w:rPr>
          <w:rFonts w:ascii="StoneSans" w:hAnsi="StoneSans" w:cs="StoneSans"/>
          <w:i/>
          <w:sz w:val="19"/>
          <w:szCs w:val="19"/>
          <w:u w:val="single"/>
        </w:rPr>
        <w:t>125% of the full load current</w:t>
      </w:r>
      <w:r w:rsidRPr="00CC434B">
        <w:rPr>
          <w:rFonts w:ascii="StoneSans" w:hAnsi="StoneSans" w:cs="StoneSans"/>
          <w:i/>
          <w:sz w:val="19"/>
          <w:szCs w:val="19"/>
        </w:rPr>
        <w:t xml:space="preserve"> rating of the motor.</w:t>
      </w:r>
    </w:p>
    <w:p w:rsidR="00CC434B" w:rsidRPr="00CC434B" w:rsidRDefault="00CC434B" w:rsidP="00CC434B">
      <w:pPr>
        <w:pStyle w:val="ListParagraph"/>
        <w:numPr>
          <w:ilvl w:val="0"/>
          <w:numId w:val="10"/>
        </w:numPr>
        <w:autoSpaceDE w:val="0"/>
        <w:autoSpaceDN w:val="0"/>
        <w:adjustRightInd w:val="0"/>
        <w:rPr>
          <w:rFonts w:ascii="StoneSans" w:hAnsi="StoneSans" w:cs="StoneSans"/>
          <w:i/>
          <w:sz w:val="19"/>
          <w:szCs w:val="19"/>
        </w:rPr>
      </w:pPr>
      <w:r w:rsidRPr="00CC434B">
        <w:rPr>
          <w:rFonts w:ascii="StoneSans" w:hAnsi="StoneSans" w:cs="StoneSans"/>
          <w:i/>
          <w:sz w:val="19"/>
          <w:szCs w:val="19"/>
        </w:rPr>
        <w:t xml:space="preserve">The conductors of a branch circuit supplying a motor for use on non-continuous duty service shall have an </w:t>
      </w:r>
      <w:proofErr w:type="spellStart"/>
      <w:r w:rsidRPr="00CC434B">
        <w:rPr>
          <w:rFonts w:ascii="StoneSans" w:hAnsi="StoneSans" w:cs="StoneSans"/>
          <w:i/>
          <w:sz w:val="19"/>
          <w:szCs w:val="19"/>
        </w:rPr>
        <w:t>ampacity</w:t>
      </w:r>
      <w:proofErr w:type="spellEnd"/>
      <w:r w:rsidRPr="00CC434B">
        <w:rPr>
          <w:rFonts w:ascii="StoneSans" w:hAnsi="StoneSans" w:cs="StoneSans"/>
          <w:i/>
          <w:sz w:val="19"/>
          <w:szCs w:val="19"/>
        </w:rPr>
        <w:t xml:space="preserve"> not less than the current value obtained by multiplying the full load current rating of the motor by the applicable percentage given in Table 27 for the duty involved, or for varying duty service where a deviation has been allowed in accordance with Rule 2-030 by a percentage less than that specified in Table 27.</w:t>
      </w:r>
    </w:p>
    <w:p w:rsidR="00CC434B" w:rsidRPr="00CC434B" w:rsidRDefault="00CC434B" w:rsidP="00CC434B">
      <w:pPr>
        <w:pStyle w:val="ListParagraph"/>
        <w:numPr>
          <w:ilvl w:val="0"/>
          <w:numId w:val="10"/>
        </w:numPr>
        <w:autoSpaceDE w:val="0"/>
        <w:autoSpaceDN w:val="0"/>
        <w:adjustRightInd w:val="0"/>
        <w:rPr>
          <w:rFonts w:ascii="Arial" w:hAnsi="Arial" w:cs="Arial"/>
          <w:i/>
          <w:sz w:val="20"/>
          <w:szCs w:val="20"/>
        </w:rPr>
      </w:pPr>
      <w:r w:rsidRPr="00CC434B">
        <w:rPr>
          <w:rFonts w:ascii="StoneSans" w:hAnsi="StoneSans" w:cs="StoneSans"/>
          <w:i/>
          <w:sz w:val="19"/>
          <w:szCs w:val="19"/>
        </w:rPr>
        <w:t xml:space="preserve">Tap conductors supplying individual motors from a single set of branch circuit overcurrent devices supplying two or more motors shall have an </w:t>
      </w:r>
      <w:proofErr w:type="spellStart"/>
      <w:r w:rsidRPr="00CC434B">
        <w:rPr>
          <w:rFonts w:ascii="StoneSans" w:hAnsi="StoneSans" w:cs="StoneSans"/>
          <w:i/>
          <w:sz w:val="19"/>
          <w:szCs w:val="19"/>
        </w:rPr>
        <w:t>ampacity</w:t>
      </w:r>
      <w:proofErr w:type="spellEnd"/>
      <w:r w:rsidRPr="00CC434B">
        <w:rPr>
          <w:rFonts w:ascii="StoneSans" w:hAnsi="StoneSans" w:cs="StoneSans"/>
          <w:i/>
          <w:sz w:val="19"/>
          <w:szCs w:val="19"/>
        </w:rPr>
        <w:t xml:space="preserve"> at least equal to that of the branch circuit conductors, except that where the tap conductors do not exceed 7.5 m in length, they shall be permitted to be sized in accordance with </w:t>
      </w:r>
      <w:proofErr w:type="spellStart"/>
      <w:r w:rsidRPr="00CC434B">
        <w:rPr>
          <w:rFonts w:ascii="StoneSans" w:hAnsi="StoneSans" w:cs="StoneSans"/>
          <w:i/>
          <w:sz w:val="19"/>
          <w:szCs w:val="19"/>
        </w:rPr>
        <w:t>Subrule</w:t>
      </w:r>
      <w:proofErr w:type="spellEnd"/>
      <w:r w:rsidRPr="00CC434B">
        <w:rPr>
          <w:rFonts w:ascii="StoneSans" w:hAnsi="StoneSans" w:cs="StoneSans"/>
          <w:i/>
          <w:sz w:val="19"/>
          <w:szCs w:val="19"/>
        </w:rPr>
        <w:t xml:space="preserve"> (1) or (2), provided that the </w:t>
      </w:r>
      <w:proofErr w:type="spellStart"/>
      <w:r w:rsidRPr="00CC434B">
        <w:rPr>
          <w:rFonts w:ascii="StoneSans" w:hAnsi="StoneSans" w:cs="StoneSans"/>
          <w:i/>
          <w:sz w:val="19"/>
          <w:szCs w:val="19"/>
        </w:rPr>
        <w:t>ampacity</w:t>
      </w:r>
      <w:proofErr w:type="spellEnd"/>
      <w:r w:rsidRPr="00CC434B">
        <w:rPr>
          <w:rFonts w:ascii="StoneSans" w:hAnsi="StoneSans" w:cs="StoneSans"/>
          <w:i/>
          <w:sz w:val="19"/>
          <w:szCs w:val="19"/>
        </w:rPr>
        <w:t xml:space="preserve"> so determined is not less than 1/3 of the </w:t>
      </w:r>
      <w:proofErr w:type="spellStart"/>
      <w:r w:rsidRPr="00CC434B">
        <w:rPr>
          <w:rFonts w:ascii="StoneSans" w:hAnsi="StoneSans" w:cs="StoneSans"/>
          <w:i/>
          <w:sz w:val="19"/>
          <w:szCs w:val="19"/>
        </w:rPr>
        <w:t>ampacity</w:t>
      </w:r>
      <w:proofErr w:type="spellEnd"/>
      <w:r w:rsidRPr="00CC434B">
        <w:rPr>
          <w:rFonts w:ascii="StoneSans" w:hAnsi="StoneSans" w:cs="StoneSans"/>
          <w:i/>
          <w:sz w:val="19"/>
          <w:szCs w:val="19"/>
        </w:rPr>
        <w:t xml:space="preserve"> of the branch circuit conductors.</w:t>
      </w:r>
    </w:p>
    <w:p w:rsidR="00CC434B" w:rsidRDefault="00CC434B" w:rsidP="00C31A9F">
      <w:pPr>
        <w:tabs>
          <w:tab w:val="left" w:pos="540"/>
        </w:tabs>
        <w:jc w:val="both"/>
        <w:rPr>
          <w:rFonts w:ascii="Arial" w:hAnsi="Arial" w:cs="Arial"/>
          <w:sz w:val="20"/>
          <w:szCs w:val="20"/>
        </w:rPr>
      </w:pPr>
    </w:p>
    <w:p w:rsidR="00EA3D18" w:rsidRPr="008E0A58" w:rsidRDefault="00EA3D18" w:rsidP="00EA3D18">
      <w:pPr>
        <w:tabs>
          <w:tab w:val="left" w:pos="540"/>
        </w:tabs>
        <w:jc w:val="center"/>
        <w:rPr>
          <w:rFonts w:ascii="Arial" w:hAnsi="Arial" w:cs="Arial"/>
          <w:sz w:val="20"/>
          <w:szCs w:val="20"/>
        </w:rPr>
      </w:pPr>
      <w:r>
        <w:rPr>
          <w:rFonts w:ascii="Arial" w:hAnsi="Arial" w:cs="Arial"/>
          <w:noProof/>
          <w:sz w:val="20"/>
          <w:szCs w:val="20"/>
        </w:rPr>
        <w:drawing>
          <wp:inline distT="0" distB="0" distL="0" distR="0">
            <wp:extent cx="5486400" cy="330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27.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3305175"/>
                    </a:xfrm>
                    <a:prstGeom prst="rect">
                      <a:avLst/>
                    </a:prstGeom>
                  </pic:spPr>
                </pic:pic>
              </a:graphicData>
            </a:graphic>
          </wp:inline>
        </w:drawing>
      </w:r>
    </w:p>
    <w:p w:rsidR="00C31A9F" w:rsidRDefault="008E0A58" w:rsidP="00C31A9F">
      <w:pPr>
        <w:tabs>
          <w:tab w:val="left" w:pos="540"/>
        </w:tabs>
        <w:jc w:val="both"/>
        <w:rPr>
          <w:rFonts w:ascii="Arial" w:hAnsi="Arial" w:cs="Arial"/>
          <w:b/>
          <w:sz w:val="20"/>
          <w:szCs w:val="20"/>
        </w:rPr>
      </w:pPr>
      <w:r>
        <w:rPr>
          <w:rFonts w:ascii="Arial" w:hAnsi="Arial" w:cs="Arial"/>
          <w:sz w:val="20"/>
          <w:szCs w:val="20"/>
          <w:u w:val="single"/>
        </w:rPr>
        <w:br w:type="page"/>
      </w:r>
      <w:r w:rsidRPr="008E0A58">
        <w:rPr>
          <w:rFonts w:ascii="Arial" w:hAnsi="Arial" w:cs="Arial"/>
          <w:b/>
          <w:sz w:val="20"/>
          <w:szCs w:val="20"/>
        </w:rPr>
        <w:lastRenderedPageBreak/>
        <w:t>Rule 28-200</w:t>
      </w:r>
    </w:p>
    <w:p w:rsidR="00CC434B" w:rsidRPr="00CC434B" w:rsidRDefault="00CC434B" w:rsidP="00CC434B">
      <w:pPr>
        <w:autoSpaceDE w:val="0"/>
        <w:autoSpaceDN w:val="0"/>
        <w:adjustRightInd w:val="0"/>
        <w:rPr>
          <w:rFonts w:ascii="StoneSerif-Bold" w:hAnsi="StoneSerif-Bold" w:cs="StoneSerif-Bold"/>
          <w:b/>
          <w:bCs/>
          <w:i/>
          <w:sz w:val="20"/>
          <w:szCs w:val="20"/>
        </w:rPr>
      </w:pPr>
      <w:r w:rsidRPr="00CC434B">
        <w:rPr>
          <w:rFonts w:ascii="StoneSerif-Bold" w:hAnsi="StoneSerif-Bold" w:cs="StoneSerif-Bold"/>
          <w:b/>
          <w:bCs/>
          <w:i/>
          <w:sz w:val="20"/>
          <w:szCs w:val="20"/>
        </w:rPr>
        <w:t>28-200 Branch circuit overcurrent protection</w:t>
      </w:r>
    </w:p>
    <w:p w:rsidR="00CC434B" w:rsidRPr="00CC434B" w:rsidRDefault="00CC434B" w:rsidP="00CC434B">
      <w:pPr>
        <w:autoSpaceDE w:val="0"/>
        <w:autoSpaceDN w:val="0"/>
        <w:adjustRightInd w:val="0"/>
        <w:rPr>
          <w:rFonts w:ascii="StoneSans" w:hAnsi="StoneSans" w:cs="StoneSans"/>
          <w:i/>
          <w:sz w:val="19"/>
          <w:szCs w:val="19"/>
        </w:rPr>
      </w:pPr>
      <w:r w:rsidRPr="00CC434B">
        <w:rPr>
          <w:rFonts w:ascii="StoneSans" w:hAnsi="StoneSans" w:cs="StoneSans"/>
          <w:i/>
          <w:sz w:val="19"/>
          <w:szCs w:val="19"/>
        </w:rPr>
        <w:t>Each ungrounded conductor of a motor branch circuit shall be protected by an overcurrent device complying</w:t>
      </w:r>
      <w:r>
        <w:rPr>
          <w:rFonts w:ascii="StoneSans" w:hAnsi="StoneSans" w:cs="StoneSans"/>
          <w:i/>
          <w:sz w:val="19"/>
          <w:szCs w:val="19"/>
        </w:rPr>
        <w:t xml:space="preserve"> </w:t>
      </w:r>
      <w:r w:rsidRPr="00CC434B">
        <w:rPr>
          <w:rFonts w:ascii="StoneSans" w:hAnsi="StoneSans" w:cs="StoneSans"/>
          <w:i/>
          <w:sz w:val="19"/>
          <w:szCs w:val="19"/>
        </w:rPr>
        <w:t>with the following:</w:t>
      </w:r>
    </w:p>
    <w:p w:rsidR="00CC434B" w:rsidRPr="00CC434B" w:rsidRDefault="00CC434B" w:rsidP="00CC434B">
      <w:pPr>
        <w:pStyle w:val="ListParagraph"/>
        <w:numPr>
          <w:ilvl w:val="0"/>
          <w:numId w:val="12"/>
        </w:numPr>
        <w:autoSpaceDE w:val="0"/>
        <w:autoSpaceDN w:val="0"/>
        <w:adjustRightInd w:val="0"/>
        <w:rPr>
          <w:rFonts w:ascii="StoneSans" w:hAnsi="StoneSans" w:cs="StoneSans"/>
          <w:i/>
          <w:sz w:val="19"/>
          <w:szCs w:val="19"/>
        </w:rPr>
      </w:pPr>
      <w:r w:rsidRPr="00CC434B">
        <w:rPr>
          <w:rFonts w:ascii="StoneSans" w:hAnsi="StoneSans" w:cs="StoneSans"/>
          <w:i/>
          <w:sz w:val="19"/>
          <w:szCs w:val="19"/>
        </w:rPr>
        <w:t xml:space="preserve">a branch circuit supplying a single motor shall be protected, except as permitted by Item (c), by using an overcurrent device of rating </w:t>
      </w:r>
      <w:r w:rsidRPr="00FE5C57">
        <w:rPr>
          <w:rFonts w:ascii="StoneSans" w:hAnsi="StoneSans" w:cs="StoneSans"/>
          <w:i/>
          <w:sz w:val="19"/>
          <w:szCs w:val="19"/>
          <w:u w:val="single"/>
        </w:rPr>
        <w:t>not to exceed</w:t>
      </w:r>
      <w:r w:rsidRPr="00CC434B">
        <w:rPr>
          <w:rFonts w:ascii="StoneSans" w:hAnsi="StoneSans" w:cs="StoneSans"/>
          <w:i/>
          <w:sz w:val="19"/>
          <w:szCs w:val="19"/>
        </w:rPr>
        <w:t xml:space="preserve"> the values in Table 29 using the rated full load current of the motor;</w:t>
      </w:r>
    </w:p>
    <w:p w:rsidR="00CC434B" w:rsidRPr="00CC434B" w:rsidRDefault="00CC434B" w:rsidP="00CC434B">
      <w:pPr>
        <w:pStyle w:val="ListParagraph"/>
        <w:numPr>
          <w:ilvl w:val="0"/>
          <w:numId w:val="12"/>
        </w:numPr>
        <w:autoSpaceDE w:val="0"/>
        <w:autoSpaceDN w:val="0"/>
        <w:adjustRightInd w:val="0"/>
        <w:rPr>
          <w:rFonts w:ascii="StoneSans" w:hAnsi="StoneSans" w:cs="StoneSans"/>
          <w:i/>
          <w:sz w:val="19"/>
          <w:szCs w:val="19"/>
        </w:rPr>
      </w:pPr>
      <w:r w:rsidRPr="00CC434B">
        <w:rPr>
          <w:rFonts w:ascii="StoneSans" w:hAnsi="StoneSans" w:cs="StoneSans"/>
          <w:i/>
          <w:sz w:val="19"/>
          <w:szCs w:val="19"/>
        </w:rPr>
        <w:t>notwithstanding Item (a), an overcurrent device having a minimum rating or setting of 15 A shall be permitted even though it exceeds the values specified in Table 29;</w:t>
      </w:r>
    </w:p>
    <w:p w:rsidR="00CC434B" w:rsidRPr="00CC434B" w:rsidRDefault="00CC434B" w:rsidP="00CC434B">
      <w:pPr>
        <w:pStyle w:val="ListParagraph"/>
        <w:numPr>
          <w:ilvl w:val="0"/>
          <w:numId w:val="12"/>
        </w:numPr>
        <w:autoSpaceDE w:val="0"/>
        <w:autoSpaceDN w:val="0"/>
        <w:adjustRightInd w:val="0"/>
        <w:rPr>
          <w:rFonts w:ascii="StoneSans" w:hAnsi="StoneSans" w:cs="StoneSans"/>
          <w:i/>
          <w:sz w:val="19"/>
          <w:szCs w:val="19"/>
        </w:rPr>
      </w:pPr>
      <w:r w:rsidRPr="00CC434B">
        <w:rPr>
          <w:rFonts w:ascii="StoneSans" w:hAnsi="StoneSans" w:cs="StoneSans"/>
          <w:i/>
          <w:sz w:val="19"/>
          <w:szCs w:val="19"/>
        </w:rPr>
        <w:t>instantaneous-trip (magnetic only) circuit interrupters shall be permitted where applied in accordance with Rule 28-210;</w:t>
      </w:r>
    </w:p>
    <w:p w:rsidR="00CC434B" w:rsidRPr="00CC434B" w:rsidRDefault="00CC434B" w:rsidP="00CC434B">
      <w:pPr>
        <w:pStyle w:val="ListParagraph"/>
        <w:numPr>
          <w:ilvl w:val="0"/>
          <w:numId w:val="12"/>
        </w:numPr>
        <w:autoSpaceDE w:val="0"/>
        <w:autoSpaceDN w:val="0"/>
        <w:adjustRightInd w:val="0"/>
        <w:rPr>
          <w:rFonts w:ascii="StoneSans" w:hAnsi="StoneSans" w:cs="StoneSans"/>
          <w:i/>
          <w:sz w:val="19"/>
          <w:szCs w:val="19"/>
        </w:rPr>
      </w:pPr>
      <w:r w:rsidRPr="00CC434B">
        <w:rPr>
          <w:rFonts w:ascii="StoneSans" w:hAnsi="StoneSans" w:cs="StoneSans"/>
          <w:i/>
          <w:sz w:val="19"/>
          <w:szCs w:val="19"/>
        </w:rPr>
        <w:t>where the overcurrent devices as determined in Item (a) will not permit the motor to start, the rating or setting of the overcurrent device shall be permitted to be increased as follows:</w:t>
      </w:r>
    </w:p>
    <w:p w:rsidR="00CC434B" w:rsidRPr="00CC434B" w:rsidRDefault="00CC434B" w:rsidP="00CC434B">
      <w:pPr>
        <w:pStyle w:val="ListParagraph"/>
        <w:numPr>
          <w:ilvl w:val="0"/>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a non-time-delay fuse:</w:t>
      </w:r>
    </w:p>
    <w:p w:rsidR="00CC434B" w:rsidRPr="00CC434B" w:rsidRDefault="00CC434B" w:rsidP="00CC434B">
      <w:pPr>
        <w:pStyle w:val="ListParagraph"/>
        <w:numPr>
          <w:ilvl w:val="1"/>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not in excess of 400% of the motor full load current for fuses rated up to 600 A; or</w:t>
      </w:r>
    </w:p>
    <w:p w:rsidR="00CC434B" w:rsidRPr="00CC434B" w:rsidRDefault="00CC434B" w:rsidP="00CC434B">
      <w:pPr>
        <w:pStyle w:val="ListParagraph"/>
        <w:numPr>
          <w:ilvl w:val="1"/>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not in excess of 300% of the motor full load current for fuses rated 601 to 6000 A;</w:t>
      </w:r>
    </w:p>
    <w:p w:rsidR="00CC434B" w:rsidRPr="00CC434B" w:rsidRDefault="00CC434B" w:rsidP="00CC434B">
      <w:pPr>
        <w:pStyle w:val="ListParagraph"/>
        <w:numPr>
          <w:ilvl w:val="0"/>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a time-delay fuse to a maximum of 225% of the motor full load current;</w:t>
      </w:r>
    </w:p>
    <w:p w:rsidR="00CC434B" w:rsidRPr="00CC434B" w:rsidRDefault="00CC434B" w:rsidP="00CC434B">
      <w:pPr>
        <w:pStyle w:val="ListParagraph"/>
        <w:numPr>
          <w:ilvl w:val="0"/>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an inverse time circuit breaker:</w:t>
      </w:r>
    </w:p>
    <w:p w:rsidR="00CC434B" w:rsidRPr="00CC434B" w:rsidRDefault="00CC434B" w:rsidP="00CC434B">
      <w:pPr>
        <w:pStyle w:val="ListParagraph"/>
        <w:numPr>
          <w:ilvl w:val="1"/>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not in excess of 400% of the motor full load current for breakers rated up to 100 A; or</w:t>
      </w:r>
    </w:p>
    <w:p w:rsidR="00CC434B" w:rsidRPr="00CC434B" w:rsidRDefault="00CC434B" w:rsidP="00CC434B">
      <w:pPr>
        <w:pStyle w:val="ListParagraph"/>
        <w:numPr>
          <w:ilvl w:val="1"/>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not in excess of 300% of the motor full load current for breakers rated greater than 100 A;</w:t>
      </w:r>
    </w:p>
    <w:p w:rsidR="00CC434B" w:rsidRPr="00CC434B" w:rsidRDefault="00CC434B" w:rsidP="00CC434B">
      <w:pPr>
        <w:pStyle w:val="ListParagraph"/>
        <w:numPr>
          <w:ilvl w:val="0"/>
          <w:numId w:val="12"/>
        </w:numPr>
        <w:autoSpaceDE w:val="0"/>
        <w:autoSpaceDN w:val="0"/>
        <w:adjustRightInd w:val="0"/>
        <w:rPr>
          <w:rFonts w:ascii="StoneSans" w:hAnsi="StoneSans" w:cs="StoneSans"/>
          <w:i/>
          <w:sz w:val="19"/>
          <w:szCs w:val="19"/>
        </w:rPr>
      </w:pPr>
      <w:r w:rsidRPr="00CC434B">
        <w:rPr>
          <w:rFonts w:ascii="StoneSans" w:hAnsi="StoneSans" w:cs="StoneSans"/>
          <w:i/>
          <w:sz w:val="19"/>
          <w:szCs w:val="19"/>
        </w:rPr>
        <w:t>where the overcurrent device is a thermal magnetic breaker that has separate instantaneous-trip settings, the instantaneous-trip setting shall not be greater than that specified in Rule 28-210; and</w:t>
      </w:r>
    </w:p>
    <w:p w:rsidR="008E0A58" w:rsidRPr="00CC434B" w:rsidRDefault="00CC434B" w:rsidP="00CC434B">
      <w:pPr>
        <w:pStyle w:val="ListParagraph"/>
        <w:numPr>
          <w:ilvl w:val="0"/>
          <w:numId w:val="12"/>
        </w:numPr>
        <w:autoSpaceDE w:val="0"/>
        <w:autoSpaceDN w:val="0"/>
        <w:adjustRightInd w:val="0"/>
        <w:rPr>
          <w:rFonts w:ascii="Arial" w:hAnsi="Arial" w:cs="Arial"/>
          <w:i/>
          <w:sz w:val="20"/>
          <w:szCs w:val="20"/>
        </w:rPr>
      </w:pPr>
      <w:proofErr w:type="gramStart"/>
      <w:r w:rsidRPr="00CC434B">
        <w:rPr>
          <w:rFonts w:ascii="StoneSans" w:hAnsi="StoneSans" w:cs="StoneSans"/>
          <w:i/>
          <w:sz w:val="19"/>
          <w:szCs w:val="19"/>
        </w:rPr>
        <w:t>for</w:t>
      </w:r>
      <w:proofErr w:type="gramEnd"/>
      <w:r w:rsidRPr="00CC434B">
        <w:rPr>
          <w:rFonts w:ascii="StoneSans" w:hAnsi="StoneSans" w:cs="StoneSans"/>
          <w:i/>
          <w:sz w:val="19"/>
          <w:szCs w:val="19"/>
        </w:rPr>
        <w:t xml:space="preserve"> a branch circuit supplying two or more motors, the rating or setting of the overcurrent device shall not exceed the maximum value permitted by Rule 28-206.</w:t>
      </w:r>
    </w:p>
    <w:p w:rsidR="008E0A58" w:rsidRDefault="008E0A58" w:rsidP="00C31A9F">
      <w:pPr>
        <w:tabs>
          <w:tab w:val="left" w:pos="540"/>
        </w:tabs>
        <w:jc w:val="both"/>
        <w:rPr>
          <w:rFonts w:ascii="Arial" w:hAnsi="Arial" w:cs="Arial"/>
          <w:b/>
          <w:sz w:val="20"/>
          <w:szCs w:val="20"/>
        </w:rPr>
      </w:pPr>
    </w:p>
    <w:p w:rsidR="008E0A58" w:rsidRDefault="00EA3D18" w:rsidP="00C31A9F">
      <w:pPr>
        <w:tabs>
          <w:tab w:val="left" w:pos="540"/>
        </w:tabs>
        <w:jc w:val="both"/>
        <w:rPr>
          <w:rFonts w:ascii="Arial" w:hAnsi="Arial" w:cs="Arial"/>
          <w:b/>
          <w:sz w:val="20"/>
          <w:szCs w:val="20"/>
        </w:rPr>
      </w:pPr>
      <w:r>
        <w:rPr>
          <w:rFonts w:ascii="Arial" w:hAnsi="Arial" w:cs="Arial"/>
          <w:b/>
          <w:noProof/>
          <w:sz w:val="20"/>
          <w:szCs w:val="20"/>
        </w:rPr>
        <w:drawing>
          <wp:inline distT="0" distB="0" distL="0" distR="0">
            <wp:extent cx="5486400" cy="406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29.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4069715"/>
                    </a:xfrm>
                    <a:prstGeom prst="rect">
                      <a:avLst/>
                    </a:prstGeom>
                  </pic:spPr>
                </pic:pic>
              </a:graphicData>
            </a:graphic>
          </wp:inline>
        </w:drawing>
      </w:r>
    </w:p>
    <w:p w:rsidR="008E0A58" w:rsidRDefault="008E0A58" w:rsidP="00C31A9F">
      <w:pPr>
        <w:tabs>
          <w:tab w:val="left" w:pos="540"/>
        </w:tabs>
        <w:jc w:val="both"/>
        <w:rPr>
          <w:rFonts w:ascii="Arial" w:hAnsi="Arial" w:cs="Arial"/>
          <w:b/>
          <w:sz w:val="20"/>
          <w:szCs w:val="20"/>
        </w:rPr>
      </w:pPr>
    </w:p>
    <w:p w:rsidR="008E0A58" w:rsidRDefault="008E0A58" w:rsidP="00C31A9F">
      <w:pPr>
        <w:tabs>
          <w:tab w:val="left" w:pos="540"/>
        </w:tabs>
        <w:jc w:val="both"/>
        <w:rPr>
          <w:rFonts w:ascii="Arial" w:hAnsi="Arial" w:cs="Arial"/>
          <w:b/>
          <w:sz w:val="20"/>
          <w:szCs w:val="20"/>
        </w:rPr>
      </w:pPr>
    </w:p>
    <w:p w:rsidR="00CC434B" w:rsidRDefault="00CC434B">
      <w:pPr>
        <w:rPr>
          <w:rFonts w:ascii="Arial" w:hAnsi="Arial" w:cs="Arial"/>
          <w:b/>
          <w:sz w:val="20"/>
          <w:szCs w:val="20"/>
        </w:rPr>
      </w:pPr>
      <w:r>
        <w:rPr>
          <w:rFonts w:ascii="Arial" w:hAnsi="Arial" w:cs="Arial"/>
          <w:b/>
          <w:sz w:val="20"/>
          <w:szCs w:val="20"/>
        </w:rPr>
        <w:br w:type="page"/>
      </w:r>
    </w:p>
    <w:p w:rsidR="008E0A58" w:rsidRPr="008E0A58" w:rsidRDefault="008E0A58" w:rsidP="00C31A9F">
      <w:pPr>
        <w:tabs>
          <w:tab w:val="left" w:pos="540"/>
        </w:tabs>
        <w:jc w:val="both"/>
        <w:rPr>
          <w:rFonts w:ascii="Arial" w:hAnsi="Arial" w:cs="Arial"/>
          <w:b/>
          <w:sz w:val="20"/>
          <w:szCs w:val="20"/>
        </w:rPr>
      </w:pPr>
      <w:r w:rsidRPr="008E0A58">
        <w:rPr>
          <w:rFonts w:ascii="Arial" w:hAnsi="Arial" w:cs="Arial"/>
          <w:b/>
          <w:sz w:val="20"/>
          <w:szCs w:val="20"/>
        </w:rPr>
        <w:lastRenderedPageBreak/>
        <w:t>Rule 28-306</w:t>
      </w:r>
    </w:p>
    <w:p w:rsidR="00933D2B" w:rsidRDefault="00933D2B" w:rsidP="00CC434B">
      <w:pPr>
        <w:autoSpaceDE w:val="0"/>
        <w:autoSpaceDN w:val="0"/>
        <w:adjustRightInd w:val="0"/>
        <w:rPr>
          <w:rFonts w:ascii="StoneSerif-Bold" w:hAnsi="StoneSerif-Bold" w:cs="StoneSerif-Bold"/>
          <w:b/>
          <w:bCs/>
          <w:i/>
          <w:sz w:val="20"/>
          <w:szCs w:val="20"/>
        </w:rPr>
      </w:pPr>
    </w:p>
    <w:p w:rsidR="00CC434B" w:rsidRPr="00CC434B" w:rsidRDefault="00CC434B" w:rsidP="00CC434B">
      <w:pPr>
        <w:autoSpaceDE w:val="0"/>
        <w:autoSpaceDN w:val="0"/>
        <w:adjustRightInd w:val="0"/>
        <w:rPr>
          <w:rFonts w:ascii="StoneSerif-Bold" w:hAnsi="StoneSerif-Bold" w:cs="StoneSerif-Bold"/>
          <w:b/>
          <w:bCs/>
          <w:i/>
          <w:sz w:val="20"/>
          <w:szCs w:val="20"/>
        </w:rPr>
      </w:pPr>
      <w:r w:rsidRPr="00CC434B">
        <w:rPr>
          <w:rFonts w:ascii="StoneSerif-Bold" w:hAnsi="StoneSerif-Bold" w:cs="StoneSerif-Bold"/>
          <w:b/>
          <w:bCs/>
          <w:i/>
          <w:sz w:val="20"/>
          <w:szCs w:val="20"/>
        </w:rPr>
        <w:t>28-300 Overload protection required</w:t>
      </w:r>
    </w:p>
    <w:p w:rsidR="00CC434B" w:rsidRPr="00CC434B" w:rsidRDefault="00CC434B" w:rsidP="00CC434B">
      <w:pPr>
        <w:autoSpaceDE w:val="0"/>
        <w:autoSpaceDN w:val="0"/>
        <w:adjustRightInd w:val="0"/>
        <w:rPr>
          <w:rFonts w:ascii="Arial" w:hAnsi="Arial" w:cs="Arial"/>
          <w:i/>
          <w:sz w:val="20"/>
          <w:szCs w:val="20"/>
        </w:rPr>
      </w:pPr>
      <w:r w:rsidRPr="00CC434B">
        <w:rPr>
          <w:rFonts w:ascii="StoneSans" w:hAnsi="StoneSans" w:cs="StoneSans"/>
          <w:i/>
          <w:sz w:val="19"/>
          <w:szCs w:val="19"/>
        </w:rPr>
        <w:t>The branch circuit conductors and control equipment of each motor shall have overload protection, except as permitted by Rule 28-308.</w:t>
      </w:r>
    </w:p>
    <w:p w:rsidR="00CC434B" w:rsidRPr="00CC434B" w:rsidRDefault="00CC434B" w:rsidP="00CC434B">
      <w:pPr>
        <w:autoSpaceDE w:val="0"/>
        <w:autoSpaceDN w:val="0"/>
        <w:adjustRightInd w:val="0"/>
        <w:rPr>
          <w:rFonts w:ascii="StoneSerif" w:hAnsi="StoneSerif" w:cs="StoneSerif"/>
          <w:i/>
          <w:sz w:val="20"/>
          <w:szCs w:val="20"/>
        </w:rPr>
      </w:pPr>
      <w:r w:rsidRPr="00CC434B">
        <w:rPr>
          <w:rFonts w:ascii="StoneSerif-Bold" w:hAnsi="StoneSerif-Bold" w:cs="StoneSerif-Bold"/>
          <w:b/>
          <w:bCs/>
          <w:i/>
          <w:sz w:val="20"/>
          <w:szCs w:val="20"/>
        </w:rPr>
        <w:t xml:space="preserve">28-306 Rating or trip selection of overload devices </w:t>
      </w:r>
      <w:r w:rsidRPr="00CC434B">
        <w:rPr>
          <w:rFonts w:ascii="StoneSerif" w:hAnsi="StoneSerif" w:cs="StoneSerif"/>
          <w:i/>
          <w:sz w:val="20"/>
          <w:szCs w:val="20"/>
        </w:rPr>
        <w:t>(see Appendix B)</w:t>
      </w:r>
    </w:p>
    <w:p w:rsidR="00CC434B" w:rsidRPr="00CC434B" w:rsidRDefault="00CC434B" w:rsidP="00CC434B">
      <w:pPr>
        <w:pStyle w:val="ListParagraph"/>
        <w:numPr>
          <w:ilvl w:val="2"/>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Overload devices responsive to motor current, if of the fixed type, shall be selected or rated or, if of the adjustable type, shall be set to trip at not more than the following:</w:t>
      </w:r>
    </w:p>
    <w:p w:rsidR="00CC434B" w:rsidRPr="00CC434B" w:rsidRDefault="00CC434B" w:rsidP="00CC434B">
      <w:pPr>
        <w:pStyle w:val="ListParagraph"/>
        <w:numPr>
          <w:ilvl w:val="3"/>
          <w:numId w:val="13"/>
        </w:numPr>
        <w:autoSpaceDE w:val="0"/>
        <w:autoSpaceDN w:val="0"/>
        <w:adjustRightInd w:val="0"/>
        <w:rPr>
          <w:rFonts w:ascii="StoneSans" w:hAnsi="StoneSans" w:cs="StoneSans"/>
          <w:i/>
          <w:sz w:val="19"/>
          <w:szCs w:val="19"/>
        </w:rPr>
      </w:pPr>
      <w:r w:rsidRPr="00CC434B">
        <w:rPr>
          <w:rFonts w:ascii="StoneSans" w:hAnsi="StoneSans" w:cs="StoneSans"/>
          <w:i/>
          <w:sz w:val="19"/>
          <w:szCs w:val="19"/>
        </w:rPr>
        <w:t>125% of the full load current rating of a motor having a marked service factor of 1.15 or greater; or</w:t>
      </w:r>
    </w:p>
    <w:p w:rsidR="00CC434B" w:rsidRPr="00CC434B" w:rsidRDefault="00CC434B" w:rsidP="00CC434B">
      <w:pPr>
        <w:pStyle w:val="ListParagraph"/>
        <w:numPr>
          <w:ilvl w:val="3"/>
          <w:numId w:val="13"/>
        </w:numPr>
        <w:autoSpaceDE w:val="0"/>
        <w:autoSpaceDN w:val="0"/>
        <w:adjustRightInd w:val="0"/>
        <w:rPr>
          <w:rFonts w:ascii="StoneSans" w:hAnsi="StoneSans" w:cs="StoneSans"/>
          <w:i/>
          <w:sz w:val="19"/>
          <w:szCs w:val="19"/>
        </w:rPr>
      </w:pPr>
      <w:bookmarkStart w:id="0" w:name="_GoBack"/>
      <w:bookmarkEnd w:id="0"/>
      <w:r w:rsidRPr="00CC434B">
        <w:rPr>
          <w:rFonts w:ascii="StoneSans" w:hAnsi="StoneSans" w:cs="StoneSans"/>
          <w:i/>
          <w:sz w:val="19"/>
          <w:szCs w:val="19"/>
        </w:rPr>
        <w:t>115% of the full load current rating of a motor that does not have a marked service factor or where the marked service factor is less than 1.15.</w:t>
      </w:r>
    </w:p>
    <w:p w:rsidR="008E0A58" w:rsidRPr="00CC434B" w:rsidRDefault="00CC434B" w:rsidP="00CC434B">
      <w:pPr>
        <w:pStyle w:val="ListParagraph"/>
        <w:numPr>
          <w:ilvl w:val="2"/>
          <w:numId w:val="13"/>
        </w:numPr>
        <w:autoSpaceDE w:val="0"/>
        <w:autoSpaceDN w:val="0"/>
        <w:adjustRightInd w:val="0"/>
        <w:rPr>
          <w:rFonts w:ascii="Arial" w:hAnsi="Arial" w:cs="Arial"/>
          <w:i/>
          <w:sz w:val="20"/>
          <w:szCs w:val="20"/>
        </w:rPr>
      </w:pPr>
      <w:r w:rsidRPr="00CC434B">
        <w:rPr>
          <w:rFonts w:ascii="StoneSans" w:hAnsi="StoneSans" w:cs="StoneSans"/>
          <w:i/>
          <w:sz w:val="19"/>
          <w:szCs w:val="19"/>
        </w:rPr>
        <w:t>Where a motor overload device is connected so that it does not carry the total current designated on the motor nameplate, such as for wye-delta starting, the percentage of motor nameplate current applying to the selection or setting of the overload device shall be clearly marked on the motor starter shown in the motor starter manufacturer’s overload selection table.</w:t>
      </w:r>
    </w:p>
    <w:p w:rsidR="00CC434B" w:rsidRPr="00CC434B" w:rsidRDefault="00CC434B">
      <w:pPr>
        <w:autoSpaceDE w:val="0"/>
        <w:autoSpaceDN w:val="0"/>
        <w:adjustRightInd w:val="0"/>
        <w:ind w:left="360"/>
        <w:rPr>
          <w:rFonts w:ascii="Arial" w:hAnsi="Arial" w:cs="Arial"/>
          <w:i/>
          <w:sz w:val="20"/>
          <w:szCs w:val="20"/>
        </w:rPr>
      </w:pPr>
    </w:p>
    <w:sectPr w:rsidR="00CC434B" w:rsidRPr="00CC434B" w:rsidSect="002A4579">
      <w:pgSz w:w="12240" w:h="15840" w:code="1"/>
      <w:pgMar w:top="1440" w:right="1440" w:bottom="1080" w:left="21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0A" w:rsidRDefault="00EE4D0A">
      <w:r>
        <w:separator/>
      </w:r>
    </w:p>
  </w:endnote>
  <w:endnote w:type="continuationSeparator" w:id="0">
    <w:p w:rsidR="00EE4D0A" w:rsidRDefault="00EE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toneSerif-Bold">
    <w:panose1 w:val="00000000000000000000"/>
    <w:charset w:val="00"/>
    <w:family w:val="roman"/>
    <w:notTrueType/>
    <w:pitch w:val="default"/>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Stone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0A" w:rsidRDefault="00EE4D0A">
      <w:r>
        <w:separator/>
      </w:r>
    </w:p>
  </w:footnote>
  <w:footnote w:type="continuationSeparator" w:id="0">
    <w:p w:rsidR="00EE4D0A" w:rsidRDefault="00EE4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52D"/>
    <w:multiLevelType w:val="hybridMultilevel"/>
    <w:tmpl w:val="2E388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BB5C99"/>
    <w:multiLevelType w:val="hybridMultilevel"/>
    <w:tmpl w:val="57FE3B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62137B"/>
    <w:multiLevelType w:val="hybridMultilevel"/>
    <w:tmpl w:val="442C9928"/>
    <w:lvl w:ilvl="0" w:tplc="E54E692C">
      <w:start w:val="1"/>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
    <w:nsid w:val="24B73F2D"/>
    <w:multiLevelType w:val="hybridMultilevel"/>
    <w:tmpl w:val="DE8C6376"/>
    <w:lvl w:ilvl="0" w:tplc="8C623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6102B"/>
    <w:multiLevelType w:val="hybridMultilevel"/>
    <w:tmpl w:val="CCEC216A"/>
    <w:lvl w:ilvl="0" w:tplc="50262F92">
      <w:start w:val="1"/>
      <w:numFmt w:val="lowerRoman"/>
      <w:lvlText w:val="(%1)"/>
      <w:lvlJc w:val="left"/>
      <w:pPr>
        <w:ind w:left="1080" w:hanging="720"/>
      </w:pPr>
      <w:rPr>
        <w:rFonts w:hint="default"/>
      </w:rPr>
    </w:lvl>
    <w:lvl w:ilvl="1" w:tplc="33525770">
      <w:start w:val="1"/>
      <w:numFmt w:val="upperLetter"/>
      <w:lvlText w:val="(%2)"/>
      <w:lvlJc w:val="left"/>
      <w:pPr>
        <w:ind w:left="1440" w:hanging="360"/>
      </w:pPr>
      <w:rPr>
        <w:rFonts w:hint="default"/>
      </w:rPr>
    </w:lvl>
    <w:lvl w:ilvl="2" w:tplc="2138B856">
      <w:start w:val="1"/>
      <w:numFmt w:val="decimal"/>
      <w:lvlText w:val="(%3)"/>
      <w:lvlJc w:val="left"/>
      <w:pPr>
        <w:ind w:left="2340" w:hanging="360"/>
      </w:pPr>
      <w:rPr>
        <w:rFonts w:hint="default"/>
      </w:rPr>
    </w:lvl>
    <w:lvl w:ilvl="3" w:tplc="5970B8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03C67"/>
    <w:multiLevelType w:val="hybridMultilevel"/>
    <w:tmpl w:val="E0D4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E6B96"/>
    <w:multiLevelType w:val="hybridMultilevel"/>
    <w:tmpl w:val="311A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1D5AEE"/>
    <w:multiLevelType w:val="hybridMultilevel"/>
    <w:tmpl w:val="ECEEEF30"/>
    <w:lvl w:ilvl="0" w:tplc="8C623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ED31CA"/>
    <w:multiLevelType w:val="hybridMultilevel"/>
    <w:tmpl w:val="B1D49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CB67F4"/>
    <w:multiLevelType w:val="hybridMultilevel"/>
    <w:tmpl w:val="0DAE34F2"/>
    <w:lvl w:ilvl="0" w:tplc="8C623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F0561"/>
    <w:multiLevelType w:val="hybridMultilevel"/>
    <w:tmpl w:val="299C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D066F"/>
    <w:multiLevelType w:val="hybridMultilevel"/>
    <w:tmpl w:val="9F145794"/>
    <w:lvl w:ilvl="0" w:tplc="A344D7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B11803"/>
    <w:multiLevelType w:val="hybridMultilevel"/>
    <w:tmpl w:val="A2844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8C7845"/>
    <w:multiLevelType w:val="hybridMultilevel"/>
    <w:tmpl w:val="88D863D2"/>
    <w:lvl w:ilvl="0" w:tplc="A344D7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2"/>
  </w:num>
  <w:num w:numId="6">
    <w:abstractNumId w:val="1"/>
  </w:num>
  <w:num w:numId="7">
    <w:abstractNumId w:val="8"/>
  </w:num>
  <w:num w:numId="8">
    <w:abstractNumId w:val="9"/>
  </w:num>
  <w:num w:numId="9">
    <w:abstractNumId w:val="5"/>
  </w:num>
  <w:num w:numId="10">
    <w:abstractNumId w:val="7"/>
  </w:num>
  <w:num w:numId="11">
    <w:abstractNumId w:val="3"/>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79"/>
    <w:rsid w:val="000F3099"/>
    <w:rsid w:val="00180F49"/>
    <w:rsid w:val="00196BD1"/>
    <w:rsid w:val="001A4E47"/>
    <w:rsid w:val="002A3B38"/>
    <w:rsid w:val="002A4579"/>
    <w:rsid w:val="002D5467"/>
    <w:rsid w:val="002D7DB0"/>
    <w:rsid w:val="004871F4"/>
    <w:rsid w:val="004A1CB0"/>
    <w:rsid w:val="00584290"/>
    <w:rsid w:val="00675FE9"/>
    <w:rsid w:val="008172B7"/>
    <w:rsid w:val="00875BAF"/>
    <w:rsid w:val="008A1FD8"/>
    <w:rsid w:val="008E0A58"/>
    <w:rsid w:val="008F7D5B"/>
    <w:rsid w:val="009209F3"/>
    <w:rsid w:val="0092264C"/>
    <w:rsid w:val="00933D2B"/>
    <w:rsid w:val="00BC550B"/>
    <w:rsid w:val="00C31A9F"/>
    <w:rsid w:val="00CC434B"/>
    <w:rsid w:val="00D7206A"/>
    <w:rsid w:val="00DF4C5A"/>
    <w:rsid w:val="00E069BB"/>
    <w:rsid w:val="00EA3D18"/>
    <w:rsid w:val="00EE4D0A"/>
    <w:rsid w:val="00FE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5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4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A3B38"/>
    <w:rPr>
      <w:color w:val="0000FF"/>
      <w:u w:val="single"/>
    </w:rPr>
  </w:style>
  <w:style w:type="character" w:styleId="FollowedHyperlink">
    <w:name w:val="FollowedHyperlink"/>
    <w:basedOn w:val="DefaultParagraphFont"/>
    <w:rsid w:val="002D5467"/>
    <w:rPr>
      <w:color w:val="800080" w:themeColor="followedHyperlink"/>
      <w:u w:val="single"/>
    </w:rPr>
  </w:style>
  <w:style w:type="paragraph" w:styleId="ListParagraph">
    <w:name w:val="List Paragraph"/>
    <w:basedOn w:val="Normal"/>
    <w:uiPriority w:val="34"/>
    <w:qFormat/>
    <w:rsid w:val="002D5467"/>
    <w:pPr>
      <w:ind w:left="720"/>
      <w:contextualSpacing/>
    </w:pPr>
  </w:style>
  <w:style w:type="paragraph" w:styleId="BalloonText">
    <w:name w:val="Balloon Text"/>
    <w:basedOn w:val="Normal"/>
    <w:link w:val="BalloonTextChar"/>
    <w:rsid w:val="00EA3D18"/>
    <w:rPr>
      <w:rFonts w:ascii="Tahoma" w:hAnsi="Tahoma" w:cs="Tahoma"/>
      <w:sz w:val="16"/>
      <w:szCs w:val="16"/>
    </w:rPr>
  </w:style>
  <w:style w:type="character" w:customStyle="1" w:styleId="BalloonTextChar">
    <w:name w:val="Balloon Text Char"/>
    <w:basedOn w:val="DefaultParagraphFont"/>
    <w:link w:val="BalloonText"/>
    <w:rsid w:val="00EA3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5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4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A3B38"/>
    <w:rPr>
      <w:color w:val="0000FF"/>
      <w:u w:val="single"/>
    </w:rPr>
  </w:style>
  <w:style w:type="character" w:styleId="FollowedHyperlink">
    <w:name w:val="FollowedHyperlink"/>
    <w:basedOn w:val="DefaultParagraphFont"/>
    <w:rsid w:val="002D5467"/>
    <w:rPr>
      <w:color w:val="800080" w:themeColor="followedHyperlink"/>
      <w:u w:val="single"/>
    </w:rPr>
  </w:style>
  <w:style w:type="paragraph" w:styleId="ListParagraph">
    <w:name w:val="List Paragraph"/>
    <w:basedOn w:val="Normal"/>
    <w:uiPriority w:val="34"/>
    <w:qFormat/>
    <w:rsid w:val="002D5467"/>
    <w:pPr>
      <w:ind w:left="720"/>
      <w:contextualSpacing/>
    </w:pPr>
  </w:style>
  <w:style w:type="paragraph" w:styleId="BalloonText">
    <w:name w:val="Balloon Text"/>
    <w:basedOn w:val="Normal"/>
    <w:link w:val="BalloonTextChar"/>
    <w:rsid w:val="00EA3D18"/>
    <w:rPr>
      <w:rFonts w:ascii="Tahoma" w:hAnsi="Tahoma" w:cs="Tahoma"/>
      <w:sz w:val="16"/>
      <w:szCs w:val="16"/>
    </w:rPr>
  </w:style>
  <w:style w:type="character" w:customStyle="1" w:styleId="BalloonTextChar">
    <w:name w:val="Balloon Text Char"/>
    <w:basedOn w:val="DefaultParagraphFont"/>
    <w:link w:val="BalloonText"/>
    <w:rsid w:val="00EA3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affairs.gov.ab.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1639</TotalTime>
  <Pages>4</Pages>
  <Words>1025</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AC Single-Phased Motor Types and Characteristics</vt:lpstr>
    </vt:vector>
  </TitlesOfParts>
  <Company>NAIT</Company>
  <LinksUpToDate>false</LinksUpToDate>
  <CharactersWithSpaces>6109</CharactersWithSpaces>
  <SharedDoc>false</SharedDoc>
  <HLinks>
    <vt:vector size="6" baseType="variant">
      <vt:variant>
        <vt:i4>6488127</vt:i4>
      </vt:variant>
      <vt:variant>
        <vt:i4>0</vt:i4>
      </vt:variant>
      <vt:variant>
        <vt:i4>0</vt:i4>
      </vt:variant>
      <vt:variant>
        <vt:i4>5</vt:i4>
      </vt:variant>
      <vt:variant>
        <vt:lpwstr>http://municipalaffairs.gov.ab.ca/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Single-Phased Motor Types and Characteristics</dc:title>
  <dc:creator>NAIT</dc:creator>
  <cp:lastModifiedBy>Ronald Engen</cp:lastModifiedBy>
  <cp:revision>3</cp:revision>
  <cp:lastPrinted>2009-02-09T16:30:00Z</cp:lastPrinted>
  <dcterms:created xsi:type="dcterms:W3CDTF">2012-02-08T18:57:00Z</dcterms:created>
  <dcterms:modified xsi:type="dcterms:W3CDTF">2012-02-16T18:07:00Z</dcterms:modified>
</cp:coreProperties>
</file>